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D8" w:rsidRDefault="009C2ED8" w:rsidP="009C2ED8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RETAIL SHOP </w:t>
      </w:r>
      <w:r w:rsidR="00B86EE0">
        <w:rPr>
          <w:b/>
          <w:bCs/>
          <w:sz w:val="32"/>
          <w:szCs w:val="32"/>
        </w:rPr>
        <w:t xml:space="preserve">- </w:t>
      </w:r>
      <w:r>
        <w:rPr>
          <w:b/>
          <w:bCs/>
          <w:sz w:val="32"/>
          <w:szCs w:val="32"/>
        </w:rPr>
        <w:t>SECOND-HAND UNIFORM SALES</w:t>
      </w:r>
    </w:p>
    <w:p w:rsidR="009C2ED8" w:rsidRDefault="009C2ED8" w:rsidP="009C2ED8">
      <w:pPr>
        <w:pStyle w:val="Default"/>
        <w:rPr>
          <w:sz w:val="28"/>
          <w:szCs w:val="28"/>
        </w:rPr>
      </w:pPr>
    </w:p>
    <w:p w:rsidR="009C2ED8" w:rsidRDefault="009C2ED8" w:rsidP="009C2ED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Terms and Conditions of Sale </w:t>
      </w:r>
    </w:p>
    <w:p w:rsidR="009C2ED8" w:rsidRDefault="009C2ED8" w:rsidP="009C2ED8">
      <w:pPr>
        <w:pStyle w:val="Default"/>
        <w:rPr>
          <w:sz w:val="23"/>
          <w:szCs w:val="23"/>
        </w:rPr>
      </w:pPr>
    </w:p>
    <w:p w:rsidR="009C2ED8" w:rsidRDefault="009C2ED8" w:rsidP="009C2ED8">
      <w:pPr>
        <w:pStyle w:val="Default"/>
        <w:numPr>
          <w:ilvl w:val="0"/>
          <w:numId w:val="2"/>
        </w:numPr>
        <w:spacing w:after="249"/>
        <w:rPr>
          <w:sz w:val="18"/>
          <w:szCs w:val="18"/>
        </w:rPr>
      </w:pPr>
      <w:r>
        <w:rPr>
          <w:sz w:val="18"/>
          <w:szCs w:val="18"/>
        </w:rPr>
        <w:t xml:space="preserve">Uniforms will only be accepted at the Retail Shop during Retail Shop trading hours. </w:t>
      </w:r>
    </w:p>
    <w:p w:rsidR="009C2ED8" w:rsidRDefault="009C2ED8" w:rsidP="009C2ED8">
      <w:pPr>
        <w:pStyle w:val="Default"/>
        <w:numPr>
          <w:ilvl w:val="0"/>
          <w:numId w:val="2"/>
        </w:numPr>
        <w:spacing w:after="249"/>
        <w:rPr>
          <w:sz w:val="18"/>
          <w:szCs w:val="18"/>
        </w:rPr>
      </w:pPr>
      <w:r>
        <w:rPr>
          <w:sz w:val="18"/>
          <w:szCs w:val="18"/>
        </w:rPr>
        <w:t>All garments must be clean and will not be accepted if faded, have broken zippers, missing buttons, holes</w:t>
      </w:r>
      <w:r w:rsidR="00D945AE">
        <w:rPr>
          <w:sz w:val="18"/>
          <w:szCs w:val="18"/>
        </w:rPr>
        <w:t xml:space="preserve">, </w:t>
      </w:r>
      <w:r w:rsidR="007D4512">
        <w:rPr>
          <w:sz w:val="18"/>
          <w:szCs w:val="18"/>
        </w:rPr>
        <w:t>and tears</w:t>
      </w:r>
      <w:r w:rsidR="00D945AE">
        <w:rPr>
          <w:sz w:val="18"/>
          <w:szCs w:val="18"/>
        </w:rPr>
        <w:t xml:space="preserve"> or require any other repairs</w:t>
      </w:r>
      <w:r>
        <w:rPr>
          <w:sz w:val="18"/>
          <w:szCs w:val="18"/>
        </w:rPr>
        <w:t xml:space="preserve">. Garments that are stained or marked will not be accepted. All blazers must be dry cleaned </w:t>
      </w:r>
      <w:r w:rsidR="00710424">
        <w:rPr>
          <w:sz w:val="18"/>
          <w:szCs w:val="18"/>
        </w:rPr>
        <w:t xml:space="preserve">and have the </w:t>
      </w:r>
      <w:r>
        <w:rPr>
          <w:sz w:val="18"/>
          <w:szCs w:val="18"/>
        </w:rPr>
        <w:t xml:space="preserve">dry cleaning tag attached. </w:t>
      </w:r>
    </w:p>
    <w:p w:rsidR="009C2ED8" w:rsidRDefault="009C2ED8" w:rsidP="009C2ED8">
      <w:pPr>
        <w:pStyle w:val="Default"/>
        <w:numPr>
          <w:ilvl w:val="0"/>
          <w:numId w:val="2"/>
        </w:numPr>
        <w:spacing w:after="249"/>
        <w:rPr>
          <w:sz w:val="18"/>
          <w:szCs w:val="18"/>
        </w:rPr>
      </w:pPr>
      <w:r>
        <w:rPr>
          <w:sz w:val="18"/>
          <w:szCs w:val="18"/>
        </w:rPr>
        <w:t>Uniforms must be of the current design</w:t>
      </w:r>
      <w:r w:rsidR="00710424">
        <w:rPr>
          <w:sz w:val="18"/>
          <w:szCs w:val="18"/>
        </w:rPr>
        <w:t xml:space="preserve"> and</w:t>
      </w:r>
      <w:r>
        <w:rPr>
          <w:sz w:val="18"/>
          <w:szCs w:val="18"/>
        </w:rPr>
        <w:t xml:space="preserve"> from the approved supplier. </w:t>
      </w:r>
    </w:p>
    <w:p w:rsidR="009C2ED8" w:rsidRDefault="009C2ED8" w:rsidP="009C2ED8">
      <w:pPr>
        <w:pStyle w:val="Default"/>
        <w:numPr>
          <w:ilvl w:val="0"/>
          <w:numId w:val="2"/>
        </w:numPr>
        <w:spacing w:after="249"/>
        <w:rPr>
          <w:sz w:val="18"/>
          <w:szCs w:val="18"/>
        </w:rPr>
      </w:pPr>
      <w:r>
        <w:rPr>
          <w:sz w:val="18"/>
          <w:szCs w:val="18"/>
        </w:rPr>
        <w:t xml:space="preserve">Uniforms are accepted on a consignment basis only.  A commission of 30% will be charged on general garments and a flat rate of $35 will be charged for the sale of blazers. </w:t>
      </w:r>
    </w:p>
    <w:p w:rsidR="009C2ED8" w:rsidRDefault="009C2ED8" w:rsidP="009C2ED8">
      <w:pPr>
        <w:pStyle w:val="Default"/>
        <w:numPr>
          <w:ilvl w:val="0"/>
          <w:numId w:val="2"/>
        </w:numPr>
        <w:spacing w:after="249"/>
        <w:rPr>
          <w:sz w:val="18"/>
          <w:szCs w:val="18"/>
        </w:rPr>
      </w:pPr>
      <w:r>
        <w:rPr>
          <w:sz w:val="18"/>
          <w:szCs w:val="18"/>
        </w:rPr>
        <w:t xml:space="preserve">Uniforms that remain unsold after a period of twelve months will become redundant stock and will be donated to charity or become the property of the Retail Shop. </w:t>
      </w:r>
    </w:p>
    <w:p w:rsidR="009C2ED8" w:rsidRDefault="009C2ED8" w:rsidP="009C2ED8">
      <w:pPr>
        <w:pStyle w:val="Default"/>
        <w:numPr>
          <w:ilvl w:val="0"/>
          <w:numId w:val="2"/>
        </w:numPr>
        <w:spacing w:after="249"/>
        <w:rPr>
          <w:sz w:val="18"/>
          <w:szCs w:val="18"/>
        </w:rPr>
      </w:pPr>
      <w:r>
        <w:rPr>
          <w:sz w:val="18"/>
          <w:szCs w:val="18"/>
        </w:rPr>
        <w:t xml:space="preserve">No Junior School (Years 3 and under) uniforms, PE shirts, PE shorts, house shirts or swimming togs will be accepted for sale. Swimming sun shirts are accepted. </w:t>
      </w:r>
      <w:r>
        <w:rPr>
          <w:b/>
          <w:bCs/>
          <w:sz w:val="18"/>
          <w:szCs w:val="18"/>
        </w:rPr>
        <w:t xml:space="preserve">All unacceptable items will be donated to charity. </w:t>
      </w:r>
    </w:p>
    <w:p w:rsidR="009C2ED8" w:rsidRDefault="009C2ED8" w:rsidP="009C2ED8">
      <w:pPr>
        <w:pStyle w:val="Default"/>
        <w:numPr>
          <w:ilvl w:val="0"/>
          <w:numId w:val="2"/>
        </w:numPr>
        <w:spacing w:after="249"/>
        <w:rPr>
          <w:sz w:val="18"/>
          <w:szCs w:val="18"/>
        </w:rPr>
      </w:pPr>
      <w:r>
        <w:rPr>
          <w:sz w:val="18"/>
          <w:szCs w:val="18"/>
        </w:rPr>
        <w:t>Payments for sold items will be direct deposited into the nominated</w:t>
      </w:r>
      <w:r w:rsidR="00D945AE">
        <w:rPr>
          <w:sz w:val="18"/>
          <w:szCs w:val="18"/>
        </w:rPr>
        <w:t xml:space="preserve"> Australian</w:t>
      </w:r>
      <w:r>
        <w:rPr>
          <w:sz w:val="18"/>
          <w:szCs w:val="18"/>
        </w:rPr>
        <w:t xml:space="preserve"> bank account. Please ensure the correct banking details are supplied</w:t>
      </w:r>
      <w:r w:rsidR="00710424">
        <w:rPr>
          <w:sz w:val="18"/>
          <w:szCs w:val="18"/>
        </w:rPr>
        <w:t xml:space="preserve"> below</w:t>
      </w:r>
      <w:r>
        <w:rPr>
          <w:sz w:val="18"/>
          <w:szCs w:val="18"/>
        </w:rPr>
        <w:t xml:space="preserve">. </w:t>
      </w:r>
    </w:p>
    <w:p w:rsidR="009C2ED8" w:rsidRDefault="009C2ED8" w:rsidP="009C2ED8">
      <w:pPr>
        <w:pStyle w:val="Default"/>
        <w:numPr>
          <w:ilvl w:val="0"/>
          <w:numId w:val="2"/>
        </w:numPr>
        <w:spacing w:after="249"/>
        <w:rPr>
          <w:sz w:val="18"/>
          <w:szCs w:val="18"/>
        </w:rPr>
      </w:pPr>
      <w:r>
        <w:rPr>
          <w:sz w:val="18"/>
          <w:szCs w:val="18"/>
        </w:rPr>
        <w:t xml:space="preserve">The Retail Shop reserves the right to refuse second-hand uniforms if they are excess to stock requirements. Negotiations will not be entered into. </w:t>
      </w:r>
    </w:p>
    <w:p w:rsidR="009C2ED8" w:rsidRDefault="009C2ED8" w:rsidP="009C2ED8">
      <w:pPr>
        <w:pStyle w:val="Default"/>
        <w:numPr>
          <w:ilvl w:val="0"/>
          <w:numId w:val="2"/>
        </w:numPr>
        <w:spacing w:after="249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The Retail Shop reserves the right to donate unacceptable items to charity. </w:t>
      </w:r>
    </w:p>
    <w:p w:rsidR="009C2ED8" w:rsidRPr="009C2ED8" w:rsidRDefault="009C2ED8" w:rsidP="00BD1F4E">
      <w:pPr>
        <w:pStyle w:val="Default"/>
        <w:numPr>
          <w:ilvl w:val="0"/>
          <w:numId w:val="2"/>
        </w:numPr>
        <w:rPr>
          <w:sz w:val="18"/>
          <w:szCs w:val="18"/>
        </w:rPr>
      </w:pPr>
      <w:r w:rsidRPr="009C2ED8">
        <w:rPr>
          <w:sz w:val="18"/>
          <w:szCs w:val="18"/>
        </w:rPr>
        <w:t>International Students will be required to provide an Australian bank account, o</w:t>
      </w:r>
      <w:r w:rsidR="004E7EDF">
        <w:rPr>
          <w:sz w:val="18"/>
          <w:szCs w:val="18"/>
        </w:rPr>
        <w:t>therwise</w:t>
      </w:r>
      <w:r w:rsidRPr="009C2ED8">
        <w:rPr>
          <w:sz w:val="18"/>
          <w:szCs w:val="18"/>
        </w:rPr>
        <w:t xml:space="preserve"> payments for sold items will be forwarded to the International School (see below). </w:t>
      </w:r>
    </w:p>
    <w:p w:rsidR="009C2ED8" w:rsidRDefault="009C2ED8" w:rsidP="009C2ED8">
      <w:pPr>
        <w:pStyle w:val="Default"/>
        <w:rPr>
          <w:sz w:val="18"/>
          <w:szCs w:val="18"/>
        </w:rPr>
      </w:pPr>
    </w:p>
    <w:p w:rsidR="00B86EE0" w:rsidRDefault="009C2ED8" w:rsidP="009C2ED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Parent/Supplier Information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2093"/>
        <w:gridCol w:w="3294"/>
        <w:gridCol w:w="2126"/>
        <w:gridCol w:w="2518"/>
      </w:tblGrid>
      <w:tr w:rsidR="004E7EDF" w:rsidRPr="009C2ED8" w:rsidTr="008F7E61">
        <w:trPr>
          <w:trHeight w:val="255"/>
        </w:trPr>
        <w:tc>
          <w:tcPr>
            <w:tcW w:w="2093" w:type="dxa"/>
            <w:vAlign w:val="center"/>
          </w:tcPr>
          <w:p w:rsidR="00B86EE0" w:rsidRDefault="00B86EE0" w:rsidP="00A155A5">
            <w:pPr>
              <w:pStyle w:val="Default"/>
              <w:rPr>
                <w:sz w:val="18"/>
                <w:szCs w:val="18"/>
              </w:rPr>
            </w:pPr>
          </w:p>
          <w:p w:rsidR="009C2ED8" w:rsidRPr="009C2ED8" w:rsidRDefault="009C2ED8" w:rsidP="00A155A5">
            <w:pPr>
              <w:pStyle w:val="Default"/>
              <w:rPr>
                <w:sz w:val="18"/>
                <w:szCs w:val="18"/>
              </w:rPr>
            </w:pPr>
            <w:r w:rsidRPr="009C2ED8">
              <w:rPr>
                <w:sz w:val="18"/>
                <w:szCs w:val="18"/>
              </w:rPr>
              <w:t>Supplier’s Name</w:t>
            </w:r>
            <w:r w:rsidR="00A155A5">
              <w:rPr>
                <w:sz w:val="18"/>
                <w:szCs w:val="18"/>
              </w:rPr>
              <w:t>:</w:t>
            </w: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:rsidR="009C2ED8" w:rsidRDefault="009C2ED8" w:rsidP="009C2ED8">
            <w:pPr>
              <w:pStyle w:val="Default"/>
              <w:rPr>
                <w:sz w:val="18"/>
                <w:szCs w:val="18"/>
                <w:u w:val="single"/>
              </w:rPr>
            </w:pPr>
          </w:p>
          <w:p w:rsidR="00B86EE0" w:rsidRPr="009C2ED8" w:rsidRDefault="00B86EE0" w:rsidP="009C2ED8">
            <w:pPr>
              <w:pStyle w:val="Default"/>
              <w:rPr>
                <w:sz w:val="18"/>
                <w:szCs w:val="18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B86EE0" w:rsidRDefault="00B86EE0" w:rsidP="00A155A5">
            <w:pPr>
              <w:pStyle w:val="Default"/>
              <w:rPr>
                <w:sz w:val="18"/>
                <w:szCs w:val="18"/>
              </w:rPr>
            </w:pPr>
          </w:p>
          <w:p w:rsidR="009C2ED8" w:rsidRPr="009C2ED8" w:rsidRDefault="00A155A5" w:rsidP="00A155A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 (Mobile):</w:t>
            </w: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9C2ED8" w:rsidRPr="009C2ED8" w:rsidRDefault="009C2ED8" w:rsidP="009C2ED8">
            <w:pPr>
              <w:pStyle w:val="Default"/>
              <w:rPr>
                <w:sz w:val="18"/>
                <w:szCs w:val="18"/>
              </w:rPr>
            </w:pPr>
          </w:p>
        </w:tc>
      </w:tr>
      <w:tr w:rsidR="004E7EDF" w:rsidRPr="00B86EE0" w:rsidTr="008F7E61">
        <w:trPr>
          <w:trHeight w:val="255"/>
        </w:trPr>
        <w:tc>
          <w:tcPr>
            <w:tcW w:w="2093" w:type="dxa"/>
            <w:vAlign w:val="center"/>
          </w:tcPr>
          <w:p w:rsidR="00B86EE0" w:rsidRDefault="00B86EE0" w:rsidP="00B86EE0">
            <w:pPr>
              <w:pStyle w:val="Default"/>
              <w:rPr>
                <w:sz w:val="18"/>
                <w:szCs w:val="18"/>
              </w:rPr>
            </w:pPr>
          </w:p>
          <w:p w:rsidR="00B86EE0" w:rsidRPr="009C2ED8" w:rsidRDefault="00B86EE0" w:rsidP="00B86EE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 (Home):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:rsidR="009C2ED8" w:rsidRPr="009C2ED8" w:rsidRDefault="009C2ED8" w:rsidP="009C2ED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86EE0" w:rsidRDefault="00B86EE0" w:rsidP="00A155A5">
            <w:pPr>
              <w:pStyle w:val="Default"/>
              <w:rPr>
                <w:sz w:val="18"/>
                <w:szCs w:val="18"/>
              </w:rPr>
            </w:pPr>
          </w:p>
          <w:p w:rsidR="009C2ED8" w:rsidRPr="009C2ED8" w:rsidRDefault="00A155A5" w:rsidP="00A155A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 (Work):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9C2ED8" w:rsidRPr="009C2ED8" w:rsidRDefault="009C2ED8" w:rsidP="009C2ED8">
            <w:pPr>
              <w:pStyle w:val="Default"/>
              <w:rPr>
                <w:sz w:val="18"/>
                <w:szCs w:val="18"/>
              </w:rPr>
            </w:pPr>
          </w:p>
        </w:tc>
      </w:tr>
      <w:tr w:rsidR="009C2ED8" w:rsidRPr="00B86EE0" w:rsidTr="008F7E61">
        <w:trPr>
          <w:trHeight w:val="255"/>
        </w:trPr>
        <w:tc>
          <w:tcPr>
            <w:tcW w:w="2093" w:type="dxa"/>
            <w:vAlign w:val="center"/>
          </w:tcPr>
          <w:p w:rsidR="00B86EE0" w:rsidRDefault="00B86EE0" w:rsidP="00A155A5">
            <w:pPr>
              <w:pStyle w:val="Default"/>
              <w:rPr>
                <w:sz w:val="18"/>
                <w:szCs w:val="18"/>
              </w:rPr>
            </w:pPr>
          </w:p>
          <w:p w:rsidR="00B86EE0" w:rsidRPr="009C2ED8" w:rsidRDefault="00A155A5" w:rsidP="00B86EE0">
            <w:pPr>
              <w:pStyle w:val="Default"/>
              <w:rPr>
                <w:sz w:val="18"/>
                <w:szCs w:val="18"/>
              </w:rPr>
            </w:pPr>
            <w:r w:rsidRPr="009C2ED8">
              <w:rPr>
                <w:sz w:val="18"/>
                <w:szCs w:val="18"/>
              </w:rPr>
              <w:t>Email Address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:rsidR="009C2ED8" w:rsidRPr="009C2ED8" w:rsidRDefault="009C2ED8" w:rsidP="009C2ED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C2ED8" w:rsidRDefault="009C2ED8" w:rsidP="00A155A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9C2ED8" w:rsidRPr="009C2ED8" w:rsidRDefault="009C2ED8" w:rsidP="009C2ED8">
            <w:pPr>
              <w:pStyle w:val="Default"/>
              <w:rPr>
                <w:sz w:val="18"/>
                <w:szCs w:val="18"/>
              </w:rPr>
            </w:pPr>
          </w:p>
        </w:tc>
      </w:tr>
      <w:tr w:rsidR="009C2ED8" w:rsidRPr="00B86EE0" w:rsidTr="008F7E61">
        <w:trPr>
          <w:trHeight w:val="255"/>
        </w:trPr>
        <w:tc>
          <w:tcPr>
            <w:tcW w:w="2093" w:type="dxa"/>
            <w:vAlign w:val="center"/>
          </w:tcPr>
          <w:p w:rsidR="00B86EE0" w:rsidRDefault="00B86EE0" w:rsidP="00A155A5">
            <w:pPr>
              <w:pStyle w:val="Default"/>
              <w:rPr>
                <w:sz w:val="18"/>
                <w:szCs w:val="18"/>
              </w:rPr>
            </w:pPr>
          </w:p>
          <w:p w:rsidR="00B86EE0" w:rsidRPr="009C2ED8" w:rsidRDefault="00A155A5" w:rsidP="00B86EE0">
            <w:pPr>
              <w:pStyle w:val="Default"/>
              <w:rPr>
                <w:sz w:val="18"/>
                <w:szCs w:val="18"/>
              </w:rPr>
            </w:pPr>
            <w:r w:rsidRPr="009C2ED8">
              <w:rPr>
                <w:sz w:val="18"/>
                <w:szCs w:val="18"/>
              </w:rPr>
              <w:t>Address</w:t>
            </w:r>
            <w:r w:rsidR="002A7B8E">
              <w:rPr>
                <w:sz w:val="18"/>
                <w:szCs w:val="18"/>
              </w:rPr>
              <w:t>: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:rsidR="009C2ED8" w:rsidRPr="009C2ED8" w:rsidRDefault="009C2ED8" w:rsidP="009C2ED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ED8" w:rsidRDefault="009C2ED8" w:rsidP="00A155A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9C2ED8" w:rsidRPr="009C2ED8" w:rsidRDefault="009C2ED8" w:rsidP="009C2ED8">
            <w:pPr>
              <w:pStyle w:val="Default"/>
              <w:rPr>
                <w:sz w:val="18"/>
                <w:szCs w:val="18"/>
              </w:rPr>
            </w:pPr>
          </w:p>
        </w:tc>
      </w:tr>
      <w:tr w:rsidR="009C2ED8" w:rsidRPr="00B86EE0" w:rsidTr="008F7E61">
        <w:trPr>
          <w:trHeight w:val="255"/>
        </w:trPr>
        <w:tc>
          <w:tcPr>
            <w:tcW w:w="2093" w:type="dxa"/>
            <w:vAlign w:val="center"/>
          </w:tcPr>
          <w:p w:rsidR="00B86EE0" w:rsidRDefault="00B86EE0" w:rsidP="00A155A5">
            <w:pPr>
              <w:pStyle w:val="Default"/>
              <w:rPr>
                <w:sz w:val="18"/>
                <w:szCs w:val="18"/>
              </w:rPr>
            </w:pPr>
          </w:p>
          <w:p w:rsidR="00B86EE0" w:rsidRPr="009C2ED8" w:rsidRDefault="009C2ED8" w:rsidP="00B86EE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Bank Details – BSB</w:t>
            </w:r>
            <w:r w:rsidR="002A7B8E">
              <w:rPr>
                <w:sz w:val="18"/>
                <w:szCs w:val="18"/>
              </w:rPr>
              <w:t>: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:rsidR="009C2ED8" w:rsidRPr="009C2ED8" w:rsidRDefault="009C2ED8" w:rsidP="009C2ED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B86EE0" w:rsidRDefault="00B86EE0" w:rsidP="00A155A5">
            <w:pPr>
              <w:pStyle w:val="Default"/>
              <w:rPr>
                <w:sz w:val="18"/>
                <w:szCs w:val="18"/>
              </w:rPr>
            </w:pPr>
          </w:p>
          <w:p w:rsidR="009C2ED8" w:rsidRDefault="002A7B8E" w:rsidP="00A155A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Bank </w:t>
            </w:r>
            <w:r w:rsidR="009C2ED8">
              <w:rPr>
                <w:sz w:val="18"/>
                <w:szCs w:val="18"/>
              </w:rPr>
              <w:t>Account Number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9C2ED8" w:rsidRPr="009C2ED8" w:rsidRDefault="009C2ED8" w:rsidP="009C2ED8">
            <w:pPr>
              <w:pStyle w:val="Default"/>
              <w:rPr>
                <w:sz w:val="18"/>
                <w:szCs w:val="18"/>
              </w:rPr>
            </w:pPr>
          </w:p>
        </w:tc>
      </w:tr>
      <w:tr w:rsidR="009C2ED8" w:rsidRPr="00B86EE0" w:rsidTr="008F7E61">
        <w:trPr>
          <w:trHeight w:val="255"/>
        </w:trPr>
        <w:tc>
          <w:tcPr>
            <w:tcW w:w="2093" w:type="dxa"/>
            <w:vAlign w:val="center"/>
          </w:tcPr>
          <w:p w:rsidR="00B86EE0" w:rsidRDefault="00B86EE0" w:rsidP="00A155A5">
            <w:pPr>
              <w:pStyle w:val="Default"/>
              <w:rPr>
                <w:sz w:val="18"/>
                <w:szCs w:val="18"/>
              </w:rPr>
            </w:pPr>
          </w:p>
          <w:p w:rsidR="00B86EE0" w:rsidRDefault="002A7B8E" w:rsidP="00B86EE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Bank </w:t>
            </w:r>
            <w:r w:rsidR="009C2ED8">
              <w:rPr>
                <w:sz w:val="18"/>
                <w:szCs w:val="18"/>
              </w:rPr>
              <w:t>Account Name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:rsidR="009C2ED8" w:rsidRPr="009C2ED8" w:rsidRDefault="009C2ED8" w:rsidP="009C2ED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9C2ED8" w:rsidRDefault="009C2ED8" w:rsidP="00A155A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4" w:space="0" w:color="auto"/>
            </w:tcBorders>
          </w:tcPr>
          <w:p w:rsidR="009C2ED8" w:rsidRPr="009C2ED8" w:rsidRDefault="009C2ED8" w:rsidP="009C2ED8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9C2ED8" w:rsidRPr="004E7EDF" w:rsidRDefault="009C2ED8" w:rsidP="009C2ED8">
      <w:pPr>
        <w:pStyle w:val="Default"/>
        <w:rPr>
          <w:sz w:val="18"/>
          <w:szCs w:val="18"/>
        </w:rPr>
      </w:pPr>
    </w:p>
    <w:p w:rsidR="008F7E61" w:rsidRDefault="008F7E61" w:rsidP="004E7EDF">
      <w:pPr>
        <w:pStyle w:val="Default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I have read the information above and agree to the Terms and Conditions of Sale.</w:t>
      </w:r>
    </w:p>
    <w:p w:rsidR="008F7E61" w:rsidRDefault="008F7E61" w:rsidP="008F7E61">
      <w:pPr>
        <w:pStyle w:val="Default"/>
        <w:rPr>
          <w:sz w:val="18"/>
          <w:szCs w:val="18"/>
        </w:rPr>
      </w:pPr>
    </w:p>
    <w:p w:rsidR="004E7EDF" w:rsidRDefault="004E7EDF" w:rsidP="004E7EDF">
      <w:pPr>
        <w:pStyle w:val="Default"/>
        <w:numPr>
          <w:ilvl w:val="0"/>
          <w:numId w:val="3"/>
        </w:numPr>
        <w:rPr>
          <w:sz w:val="18"/>
          <w:szCs w:val="18"/>
        </w:rPr>
      </w:pPr>
      <w:r w:rsidRPr="004E7EDF">
        <w:rPr>
          <w:sz w:val="18"/>
          <w:szCs w:val="18"/>
        </w:rPr>
        <w:t xml:space="preserve">I certify that I have not provided an ABN because </w:t>
      </w:r>
      <w:r>
        <w:rPr>
          <w:sz w:val="18"/>
          <w:szCs w:val="18"/>
        </w:rPr>
        <w:t xml:space="preserve">the transaction </w:t>
      </w:r>
      <w:r w:rsidRPr="004E7EDF">
        <w:rPr>
          <w:sz w:val="18"/>
          <w:szCs w:val="18"/>
        </w:rPr>
        <w:t>is wholly of a private or domestic nature</w:t>
      </w:r>
      <w:r>
        <w:rPr>
          <w:sz w:val="18"/>
          <w:szCs w:val="18"/>
        </w:rPr>
        <w:t xml:space="preserve"> from my perspective</w:t>
      </w:r>
      <w:r w:rsidRPr="004E7EDF">
        <w:rPr>
          <w:sz w:val="18"/>
          <w:szCs w:val="18"/>
        </w:rPr>
        <w:t>.</w:t>
      </w:r>
    </w:p>
    <w:p w:rsidR="004E7EDF" w:rsidRDefault="004E7EDF" w:rsidP="009C2ED8">
      <w:pPr>
        <w:pStyle w:val="Default"/>
        <w:rPr>
          <w:sz w:val="18"/>
          <w:szCs w:val="18"/>
        </w:rPr>
      </w:pPr>
    </w:p>
    <w:p w:rsidR="004E7EDF" w:rsidRDefault="00D945AE" w:rsidP="004E7EDF">
      <w:pPr>
        <w:pStyle w:val="Default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If I am an I</w:t>
      </w:r>
      <w:r w:rsidR="004E7EDF">
        <w:rPr>
          <w:sz w:val="18"/>
          <w:szCs w:val="18"/>
        </w:rPr>
        <w:t xml:space="preserve">nternational </w:t>
      </w:r>
      <w:r>
        <w:rPr>
          <w:sz w:val="18"/>
          <w:szCs w:val="18"/>
        </w:rPr>
        <w:t>S</w:t>
      </w:r>
      <w:r w:rsidR="004E7EDF">
        <w:rPr>
          <w:sz w:val="18"/>
          <w:szCs w:val="18"/>
        </w:rPr>
        <w:t>tudent</w:t>
      </w:r>
      <w:r w:rsidR="008F7E61">
        <w:rPr>
          <w:sz w:val="18"/>
          <w:szCs w:val="18"/>
        </w:rPr>
        <w:t>/Family</w:t>
      </w:r>
      <w:r w:rsidR="004E7EDF">
        <w:rPr>
          <w:sz w:val="18"/>
          <w:szCs w:val="18"/>
        </w:rPr>
        <w:t xml:space="preserve"> and have not provided Australian bank account </w:t>
      </w:r>
      <w:r>
        <w:rPr>
          <w:sz w:val="18"/>
          <w:szCs w:val="18"/>
        </w:rPr>
        <w:t>details</w:t>
      </w:r>
      <w:r w:rsidR="004E7EDF">
        <w:rPr>
          <w:sz w:val="18"/>
          <w:szCs w:val="18"/>
        </w:rPr>
        <w:t>, I acknowledge that the payment will be made to the International School</w:t>
      </w:r>
      <w:r w:rsidR="008F7E61">
        <w:rPr>
          <w:sz w:val="18"/>
          <w:szCs w:val="18"/>
        </w:rPr>
        <w:t>.</w:t>
      </w:r>
    </w:p>
    <w:p w:rsidR="004E7EDF" w:rsidRDefault="004E7EDF" w:rsidP="004E7EDF">
      <w:pPr>
        <w:pStyle w:val="ListParagraph"/>
        <w:rPr>
          <w:sz w:val="18"/>
          <w:szCs w:val="18"/>
        </w:rPr>
      </w:pPr>
    </w:p>
    <w:p w:rsidR="004E7EDF" w:rsidRPr="004E7EDF" w:rsidRDefault="004E7EDF" w:rsidP="004E7EDF">
      <w:pPr>
        <w:pStyle w:val="Default"/>
        <w:rPr>
          <w:sz w:val="18"/>
          <w:szCs w:val="18"/>
        </w:rPr>
      </w:pPr>
      <w:r>
        <w:rPr>
          <w:sz w:val="18"/>
          <w:szCs w:val="18"/>
        </w:rPr>
        <w:t>Signed: _________</w:t>
      </w:r>
      <w:r w:rsidR="00D945AE">
        <w:rPr>
          <w:sz w:val="18"/>
          <w:szCs w:val="18"/>
        </w:rPr>
        <w:t>__</w:t>
      </w:r>
      <w:r>
        <w:rPr>
          <w:sz w:val="18"/>
          <w:szCs w:val="18"/>
        </w:rPr>
        <w:t xml:space="preserve">______________________       </w:t>
      </w:r>
      <w:r>
        <w:rPr>
          <w:sz w:val="18"/>
          <w:szCs w:val="18"/>
        </w:rPr>
        <w:tab/>
      </w:r>
      <w:r w:rsidR="00D945AE">
        <w:rPr>
          <w:sz w:val="18"/>
          <w:szCs w:val="18"/>
        </w:rPr>
        <w:tab/>
      </w:r>
      <w:r w:rsidR="00D945AE">
        <w:rPr>
          <w:sz w:val="18"/>
          <w:szCs w:val="18"/>
        </w:rPr>
        <w:tab/>
      </w:r>
      <w:r w:rsidR="00D945AE">
        <w:rPr>
          <w:sz w:val="18"/>
          <w:szCs w:val="18"/>
        </w:rPr>
        <w:tab/>
      </w:r>
      <w:r>
        <w:rPr>
          <w:sz w:val="18"/>
          <w:szCs w:val="18"/>
        </w:rPr>
        <w:t>Date: _________________</w:t>
      </w:r>
    </w:p>
    <w:sectPr w:rsidR="004E7EDF" w:rsidRPr="004E7EDF" w:rsidSect="00B86EE0">
      <w:headerReference w:type="default" r:id="rId9"/>
      <w:type w:val="continuous"/>
      <w:pgSz w:w="11900" w:h="16840"/>
      <w:pgMar w:top="2127" w:right="567" w:bottom="1702" w:left="1134" w:header="709" w:footer="709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6B2" w:rsidRDefault="00AC46B2">
      <w:pPr>
        <w:spacing w:after="0"/>
      </w:pPr>
      <w:r>
        <w:separator/>
      </w:r>
    </w:p>
  </w:endnote>
  <w:endnote w:type="continuationSeparator" w:id="0">
    <w:p w:rsidR="00AC46B2" w:rsidRDefault="00AC46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6B2" w:rsidRDefault="00AC46B2">
      <w:pPr>
        <w:spacing w:after="0"/>
      </w:pPr>
      <w:r>
        <w:separator/>
      </w:r>
    </w:p>
  </w:footnote>
  <w:footnote w:type="continuationSeparator" w:id="0">
    <w:p w:rsidR="00AC46B2" w:rsidRDefault="00AC46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849" w:rsidRDefault="00A155A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0688320"/>
          <wp:effectExtent l="0" t="0" r="3810" b="0"/>
          <wp:wrapNone/>
          <wp:docPr id="1" name="Picture 1" descr="A4 cover_maxspa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4 cover_maxspa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55459"/>
    <w:multiLevelType w:val="hybridMultilevel"/>
    <w:tmpl w:val="65865AE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E87ECF"/>
    <w:multiLevelType w:val="hybridMultilevel"/>
    <w:tmpl w:val="29088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6A590F"/>
    <w:multiLevelType w:val="hybridMultilevel"/>
    <w:tmpl w:val="A17ED1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FD2"/>
    <w:rsid w:val="002A7B8E"/>
    <w:rsid w:val="004E7EDF"/>
    <w:rsid w:val="00710424"/>
    <w:rsid w:val="00797BF6"/>
    <w:rsid w:val="007A31C4"/>
    <w:rsid w:val="007D4512"/>
    <w:rsid w:val="008F7E61"/>
    <w:rsid w:val="00950849"/>
    <w:rsid w:val="009C2ED8"/>
    <w:rsid w:val="00A155A5"/>
    <w:rsid w:val="00AC46B2"/>
    <w:rsid w:val="00B86EE0"/>
    <w:rsid w:val="00BF41DC"/>
    <w:rsid w:val="00C8170A"/>
    <w:rsid w:val="00D945AE"/>
    <w:rsid w:val="00F54F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B6D6D2-3E4B-45C3-90C1-D65C6768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2DB"/>
    <w:pPr>
      <w:spacing w:after="120"/>
    </w:pPr>
    <w:rPr>
      <w:rFonts w:ascii="Tahoma" w:hAnsi="Tahoma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2D53"/>
    <w:pPr>
      <w:keepNext/>
      <w:keepLines/>
      <w:spacing w:after="360"/>
      <w:outlineLvl w:val="0"/>
    </w:pPr>
    <w:rPr>
      <w:rFonts w:eastAsia="Times New Roman"/>
      <w:b/>
      <w:bCs/>
      <w:color w:val="000000"/>
      <w:sz w:val="18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52D53"/>
    <w:pPr>
      <w:keepNext/>
      <w:keepLines/>
      <w:spacing w:before="200"/>
      <w:outlineLvl w:val="1"/>
    </w:pPr>
    <w:rPr>
      <w:rFonts w:eastAsia="Times New Roman"/>
      <w:bCs/>
      <w:caps/>
      <w:color w:val="000000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52D53"/>
    <w:pPr>
      <w:keepNext/>
      <w:keepLines/>
      <w:spacing w:before="240"/>
      <w:outlineLvl w:val="2"/>
    </w:pPr>
    <w:rPr>
      <w:rFonts w:eastAsia="Times New Roman"/>
      <w:bCs/>
      <w:color w:val="80808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52D53"/>
    <w:rPr>
      <w:rFonts w:ascii="Tahoma" w:eastAsia="Times New Roman" w:hAnsi="Tahoma"/>
      <w:b/>
      <w:bCs/>
      <w:color w:val="000000"/>
      <w:sz w:val="184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C52D53"/>
    <w:rPr>
      <w:rFonts w:ascii="Tahoma" w:eastAsia="Times New Roman" w:hAnsi="Tahoma"/>
      <w:bCs/>
      <w:caps/>
      <w:color w:val="000000"/>
      <w:sz w:val="48"/>
      <w:szCs w:val="26"/>
      <w:lang w:val="en-US"/>
    </w:rPr>
  </w:style>
  <w:style w:type="character" w:customStyle="1" w:styleId="Heading3Char">
    <w:name w:val="Heading 3 Char"/>
    <w:link w:val="Heading3"/>
    <w:uiPriority w:val="9"/>
    <w:rsid w:val="00C52D53"/>
    <w:rPr>
      <w:rFonts w:ascii="Tahoma" w:eastAsia="Times New Roman" w:hAnsi="Tahoma"/>
      <w:bCs/>
      <w:color w:val="808080"/>
      <w:sz w:val="24"/>
      <w:szCs w:val="24"/>
      <w:lang w:val="en-US"/>
    </w:rPr>
  </w:style>
  <w:style w:type="paragraph" w:customStyle="1" w:styleId="AddressTextBox">
    <w:name w:val="Address Text Box"/>
    <w:basedOn w:val="Normal"/>
    <w:qFormat/>
    <w:rsid w:val="00F40BED"/>
    <w:pPr>
      <w:spacing w:after="0"/>
    </w:pPr>
    <w:rPr>
      <w:lang w:val="en-AU"/>
    </w:rPr>
  </w:style>
  <w:style w:type="paragraph" w:styleId="Header">
    <w:name w:val="header"/>
    <w:basedOn w:val="Normal"/>
    <w:link w:val="HeaderChar"/>
    <w:uiPriority w:val="99"/>
    <w:semiHidden/>
    <w:unhideWhenUsed/>
    <w:rsid w:val="00BA3EC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semiHidden/>
    <w:rsid w:val="00BA3EC3"/>
    <w:rPr>
      <w:rFonts w:ascii="Tahoma" w:hAnsi="Tahoma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A3EC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semiHidden/>
    <w:rsid w:val="00BA3EC3"/>
    <w:rPr>
      <w:rFonts w:ascii="Tahoma" w:hAnsi="Tahoma"/>
      <w:sz w:val="22"/>
    </w:rPr>
  </w:style>
  <w:style w:type="paragraph" w:customStyle="1" w:styleId="Default">
    <w:name w:val="Default"/>
    <w:rsid w:val="009C2ED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9C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72"/>
    <w:rsid w:val="009C2ED8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32"/>
    <w:qFormat/>
    <w:rsid w:val="009C2ED8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B8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B8E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72"/>
    <w:qFormat/>
    <w:rsid w:val="004E7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macintosh"/>
  <w:allowPNG/>
  <w:pixelsPerInch w:val="72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245F6-0ED6-4F3C-AE53-D601FEE94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Hillier</dc:creator>
  <cp:keywords/>
  <cp:lastModifiedBy>Chris Sweeney</cp:lastModifiedBy>
  <cp:revision>9</cp:revision>
  <cp:lastPrinted>2016-04-06T03:43:00Z</cp:lastPrinted>
  <dcterms:created xsi:type="dcterms:W3CDTF">2016-04-06T03:17:00Z</dcterms:created>
  <dcterms:modified xsi:type="dcterms:W3CDTF">2016-04-11T04:10:00Z</dcterms:modified>
</cp:coreProperties>
</file>